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D5" w:rsidRPr="00677172" w:rsidRDefault="002F42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uk-UA"/>
        </w:rPr>
      </w:pPr>
    </w:p>
    <w:tbl>
      <w:tblPr>
        <w:tblStyle w:val="ac"/>
        <w:tblW w:w="1008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6544"/>
      </w:tblGrid>
      <w:tr w:rsidR="002F42D5" w:rsidRPr="00677172">
        <w:tc>
          <w:tcPr>
            <w:tcW w:w="3545" w:type="dxa"/>
            <w:vMerge w:val="restart"/>
          </w:tcPr>
          <w:p w:rsidR="002F42D5" w:rsidRPr="00677172" w:rsidRDefault="00D622B3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noProof/>
              </w:rPr>
              <w:drawing>
                <wp:inline distT="0" distB="0" distL="0" distR="0" wp14:anchorId="287C8B3D" wp14:editId="4CF65F2D">
                  <wp:extent cx="2009775" cy="695395"/>
                  <wp:effectExtent l="0" t="0" r="0" b="0"/>
                  <wp:docPr id="3" name="image1.png" descr="Навчально-методичний відді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Навчально-методичний відділ"/>
                          <pic:cNvPicPr preferRelativeResize="0"/>
                        </pic:nvPicPr>
                        <pic:blipFill>
                          <a:blip r:embed="rId7"/>
                          <a:srcRect r="57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695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77172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44" w:type="dxa"/>
          </w:tcPr>
          <w:p w:rsidR="002F42D5" w:rsidRPr="00677172" w:rsidRDefault="00D622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Програма практики</w:t>
            </w:r>
          </w:p>
          <w:p w:rsidR="002F42D5" w:rsidRPr="00677172" w:rsidRDefault="00D622B3">
            <w:pPr>
              <w:tabs>
                <w:tab w:val="left" w:pos="480"/>
                <w:tab w:val="center" w:pos="316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ab/>
            </w:r>
            <w:r w:rsidRPr="00677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ab/>
            </w:r>
          </w:p>
        </w:tc>
      </w:tr>
      <w:tr w:rsidR="002F42D5" w:rsidRPr="00677172">
        <w:tc>
          <w:tcPr>
            <w:tcW w:w="3545" w:type="dxa"/>
            <w:vMerge/>
          </w:tcPr>
          <w:p w:rsidR="002F42D5" w:rsidRPr="00677172" w:rsidRDefault="002F4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44" w:type="dxa"/>
          </w:tcPr>
          <w:p w:rsidR="002F42D5" w:rsidRPr="00677172" w:rsidRDefault="00D62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«ВИРОБНИЧА ФАХОВА ПРАКТИКА»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42D5" w:rsidRPr="00677172" w:rsidRDefault="00D62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семестр, 4 тижні</w:t>
            </w:r>
          </w:p>
          <w:p w:rsidR="002F42D5" w:rsidRPr="00677172" w:rsidRDefault="00D62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 годин, 6 кредитів ЄКТС</w:t>
            </w:r>
          </w:p>
        </w:tc>
      </w:tr>
      <w:tr w:rsidR="002F42D5" w:rsidRPr="00677172">
        <w:trPr>
          <w:trHeight w:val="1426"/>
        </w:trPr>
        <w:tc>
          <w:tcPr>
            <w:tcW w:w="3545" w:type="dxa"/>
          </w:tcPr>
          <w:p w:rsidR="002F42D5" w:rsidRPr="00677172" w:rsidRDefault="00D622B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Структурний підрозділ.</w:t>
            </w:r>
          </w:p>
          <w:p w:rsidR="002F42D5" w:rsidRPr="00677172" w:rsidRDefault="002F42D5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F42D5" w:rsidRPr="00677172" w:rsidRDefault="00D622B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Освітній ступінь.</w:t>
            </w:r>
          </w:p>
          <w:p w:rsidR="002F42D5" w:rsidRPr="00677172" w:rsidRDefault="00D622B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Спеціальність.</w:t>
            </w:r>
          </w:p>
          <w:p w:rsidR="002F42D5" w:rsidRPr="00677172" w:rsidRDefault="00D622B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Освітня програма.</w:t>
            </w:r>
          </w:p>
        </w:tc>
        <w:tc>
          <w:tcPr>
            <w:tcW w:w="6544" w:type="dxa"/>
          </w:tcPr>
          <w:p w:rsidR="002F42D5" w:rsidRPr="00677172" w:rsidRDefault="00D622B3" w:rsidP="00307D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ННІ економіки і права,</w:t>
            </w:r>
          </w:p>
          <w:p w:rsidR="002F42D5" w:rsidRPr="00677172" w:rsidRDefault="00D622B3" w:rsidP="00307D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кафедра моделювання економіки і бізнесу</w:t>
            </w:r>
          </w:p>
          <w:p w:rsidR="002F42D5" w:rsidRPr="00677172" w:rsidRDefault="00D622B3" w:rsidP="00307D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Магістр</w:t>
            </w:r>
          </w:p>
          <w:p w:rsidR="002F42D5" w:rsidRPr="00677172" w:rsidRDefault="00D622B3" w:rsidP="00307D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051 «Економіка»</w:t>
            </w:r>
          </w:p>
          <w:p w:rsidR="002F42D5" w:rsidRPr="00677172" w:rsidRDefault="00D622B3" w:rsidP="00307D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Економічна кібернетика</w:t>
            </w:r>
          </w:p>
        </w:tc>
      </w:tr>
      <w:tr w:rsidR="002F42D5" w:rsidRPr="00677172" w:rsidTr="00677172">
        <w:trPr>
          <w:trHeight w:val="2254"/>
        </w:trPr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after="200" w:line="276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Перелік нормативних документів, які необхідно оформити для проведення практики (клопотання, договір, тощо), порядок їх оформлення та подання;</w:t>
            </w:r>
          </w:p>
        </w:tc>
        <w:tc>
          <w:tcPr>
            <w:tcW w:w="6544" w:type="dxa"/>
          </w:tcPr>
          <w:p w:rsidR="00677172" w:rsidRPr="00F1028F" w:rsidRDefault="00677172" w:rsidP="00307D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Договір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проведення виробнич</w:t>
            </w:r>
            <w:r w:rsidR="00453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 практики, що  укладається ЗВО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базою практики (підприємство, організація, установа будь-якої форми власності) за </w:t>
            </w:r>
            <w:hyperlink r:id="rId8">
              <w:r w:rsidRPr="00F1028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встановленою формою</w:t>
              </w:r>
            </w:hyperlink>
          </w:p>
          <w:p w:rsidR="002F42D5" w:rsidRPr="00677172" w:rsidRDefault="00677172" w:rsidP="00307D17">
            <w:pPr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Наказ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проходження виробничої фахової практики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Мета та завдання практики;</w:t>
            </w:r>
          </w:p>
        </w:tc>
        <w:tc>
          <w:tcPr>
            <w:tcW w:w="6544" w:type="dxa"/>
          </w:tcPr>
          <w:p w:rsidR="002F42D5" w:rsidRPr="00677172" w:rsidRDefault="00D622B3" w:rsidP="00307D17">
            <w:pPr>
              <w:shd w:val="clear" w:color="auto" w:fill="FFFFFF"/>
              <w:spacing w:before="20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Мета практики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закріпити теоретичні знання, набуті в університеті під час навчання та отримати професійні практичні навички самостійного прийняття рішень на різних рівнях управління: на посадах аналітика, економіста, співробітника підрозділу органів державної влади, бухгалтера, фахівця з програмного забезпечення, адміністратора бази даних, співробітника </w:t>
            </w:r>
            <w:proofErr w:type="spellStart"/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обчислювального центру, банку, малого підприємства, торговельної фірми, співробітника підрозділу у сфері освіти та виробничого навчання, програміста, системного адміністратора, викладача навчального закладу та ін. </w:t>
            </w:r>
          </w:p>
          <w:p w:rsidR="002F42D5" w:rsidRPr="00677172" w:rsidRDefault="00D622B3" w:rsidP="0030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Завдання практики: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  </w:t>
            </w:r>
          </w:p>
          <w:p w:rsidR="002F42D5" w:rsidRPr="00677172" w:rsidRDefault="00D622B3" w:rsidP="00307D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ознайомитися з юридичним статусом, напрямками діяльності підприємства (установи);</w:t>
            </w:r>
          </w:p>
          <w:p w:rsidR="002F42D5" w:rsidRPr="00677172" w:rsidRDefault="00D622B3" w:rsidP="0030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ознайомитись з організаційно-виробничою структурою підприємства (організації), функціями структурних підрозділів та взаємовідносинами між ними;</w:t>
            </w:r>
          </w:p>
          <w:p w:rsidR="002F42D5" w:rsidRPr="00677172" w:rsidRDefault="00D622B3" w:rsidP="0030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 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ознайомитися з фінансовим станом об’єкта та іншими техніко-економічними показниками роботи;</w:t>
            </w:r>
          </w:p>
          <w:p w:rsidR="002F42D5" w:rsidRPr="00677172" w:rsidRDefault="00D622B3" w:rsidP="00307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  ознайомитися з конкретною організацією процесів створення або адаптування інформаційних систем та їх елементів, а також з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порядком розробки та затвердження відповідної проектної і технічної документації;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оцінити стан інформатизації, стратегію формування інформаційних ресурсів об’єкта, рівень забезпеченості та особливості використання технічних засобів автоматизації збору, обробки та аналізу інформаційних потоків;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ознайомитися з методами організації та функціонування робочих місць спеціалістів, об’єднаних за допомогою мережі, тощо;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       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ознайомитися з методами оцінки ефективності ІС, заходами щодо вдосконалення процесу управління;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       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набути практичних навичок з вибору технічних, інформаційних, програмних засобів підтримки прийняття рішень на різних рівнях управління;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ознайомитися з методами і засобами інформаційної безпеки на об’єкті;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 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зібрати матеріали щодо характеристик програмних продуктів певного класу для подальшого функціонально-вартісного аналізу та оцінки з метою вибору конкретного засобу для практичного застосування;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практично застосувати вміння моделювання економічних явищ та процесів, вивчити вплив факторів на їх ефективність;</w:t>
            </w:r>
          </w:p>
          <w:p w:rsidR="002F42D5" w:rsidRPr="00677172" w:rsidRDefault="00D622B3" w:rsidP="00307D17">
            <w:pPr>
              <w:ind w:left="42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узагальнити, систематизувати, закріпити та поглибити знання зі спеціальних фахових дисциплін, виконуючи індивідуальні завдання.</w:t>
            </w:r>
          </w:p>
          <w:p w:rsidR="002F42D5" w:rsidRPr="00677172" w:rsidRDefault="002F42D5" w:rsidP="00307D17">
            <w:pPr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42D5" w:rsidRPr="00677172">
        <w:trPr>
          <w:trHeight w:val="1833"/>
        </w:trPr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Загальні та професійні компетентності, які формуються під час практики</w:t>
            </w:r>
            <w:bookmarkEnd w:id="0"/>
          </w:p>
        </w:tc>
        <w:tc>
          <w:tcPr>
            <w:tcW w:w="6544" w:type="dxa"/>
          </w:tcPr>
          <w:p w:rsidR="002F42D5" w:rsidRPr="00677172" w:rsidRDefault="00D622B3" w:rsidP="00247DD6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Виробнича фахова практика передбачає використання теоретичних знань з усього блоку професійно-орієнтованих дисциплін та дисциплін спеціалізації відповідно до нормативної та варіативної частини ОПП.</w:t>
            </w:r>
          </w:p>
          <w:p w:rsidR="00677172" w:rsidRDefault="00677172" w:rsidP="00677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Загальні компетентності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ЗК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):</w:t>
            </w:r>
          </w:p>
          <w:p w:rsidR="00CF67F4" w:rsidRPr="00CF67F4" w:rsidRDefault="00CF67F4" w:rsidP="00CF67F4">
            <w:pPr>
              <w:jc w:val="both"/>
              <w:rPr>
                <w:rStyle w:val="fontstyle01"/>
                <w:sz w:val="28"/>
                <w:szCs w:val="28"/>
                <w:lang w:val="uk-UA"/>
              </w:rPr>
            </w:pPr>
            <w:r w:rsidRPr="00CF67F4">
              <w:rPr>
                <w:rStyle w:val="fontstyle01"/>
                <w:sz w:val="28"/>
                <w:szCs w:val="28"/>
                <w:lang w:val="uk-UA"/>
              </w:rPr>
              <w:t>ЗК2. Здатність до абстрактного мислення, аналізу та синтезу.</w:t>
            </w:r>
          </w:p>
          <w:p w:rsidR="00CF67F4" w:rsidRPr="00CF67F4" w:rsidRDefault="00CF67F4" w:rsidP="00CF67F4">
            <w:pPr>
              <w:jc w:val="both"/>
              <w:rPr>
                <w:rStyle w:val="fontstyle01"/>
                <w:sz w:val="28"/>
                <w:szCs w:val="28"/>
                <w:lang w:val="uk-UA"/>
              </w:rPr>
            </w:pPr>
            <w:r w:rsidRPr="00CF67F4">
              <w:rPr>
                <w:rStyle w:val="fontstyle01"/>
                <w:sz w:val="28"/>
                <w:szCs w:val="28"/>
                <w:lang w:val="uk-UA"/>
              </w:rPr>
              <w:t>ЗК6. Здатність розробляти та управляти проектами.</w:t>
            </w:r>
          </w:p>
          <w:p w:rsidR="00CF67F4" w:rsidRPr="00CF67F4" w:rsidRDefault="00CF67F4" w:rsidP="00CF67F4">
            <w:pPr>
              <w:jc w:val="both"/>
              <w:rPr>
                <w:rStyle w:val="fontstyle01"/>
                <w:sz w:val="28"/>
                <w:szCs w:val="28"/>
                <w:lang w:val="uk-UA"/>
              </w:rPr>
            </w:pPr>
            <w:r w:rsidRPr="00CF67F4">
              <w:rPr>
                <w:rStyle w:val="fontstyle01"/>
                <w:sz w:val="28"/>
                <w:szCs w:val="28"/>
                <w:lang w:val="uk-UA"/>
              </w:rPr>
              <w:t>ЗК8. Здатність проводити дослідження на відповідному рівні.</w:t>
            </w:r>
          </w:p>
          <w:p w:rsidR="00B83EC9" w:rsidRPr="00CF67F4" w:rsidRDefault="00CF67F4" w:rsidP="00CF67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F67F4">
              <w:rPr>
                <w:rStyle w:val="fontstyle01"/>
                <w:sz w:val="28"/>
                <w:szCs w:val="28"/>
                <w:lang w:val="uk-UA"/>
              </w:rPr>
              <w:t xml:space="preserve">ЗК9. </w:t>
            </w:r>
            <w:r w:rsidRPr="00CF67F4">
              <w:rPr>
                <w:rFonts w:ascii="Times New Roman" w:hAnsi="Times New Roman"/>
                <w:sz w:val="28"/>
                <w:szCs w:val="28"/>
                <w:lang w:val="uk-UA"/>
              </w:rPr>
              <w:t>Уміння використовувати інформаційні та комунікаційні технології</w:t>
            </w:r>
          </w:p>
          <w:p w:rsidR="00B83EC9" w:rsidRPr="00F1028F" w:rsidRDefault="00B83EC9" w:rsidP="00B83E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Професійні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спеціальні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компетентності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ФК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):</w:t>
            </w:r>
          </w:p>
          <w:p w:rsidR="00B83EC9" w:rsidRPr="00F1028F" w:rsidRDefault="00B83EC9" w:rsidP="00677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СК3. Здатність збирати, аналізувати та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 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Style w:val="fontstyle01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СК4. З</w:t>
            </w:r>
            <w:r w:rsidRPr="00CF67F4">
              <w:rPr>
                <w:rStyle w:val="fontstyle01"/>
                <w:sz w:val="28"/>
                <w:szCs w:val="28"/>
                <w:lang w:val="uk-UA"/>
              </w:rPr>
              <w:t>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Style w:val="fontstyle01"/>
                <w:sz w:val="28"/>
                <w:szCs w:val="28"/>
                <w:lang w:val="uk-UA"/>
              </w:rPr>
              <w:t xml:space="preserve">СК6. Здатність формулювати професійні задачі в сфері </w:t>
            </w: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економіки та розв’язувати їх, обираючи належні напрями і відповідні методи для їх розв’язання, беручи до уваги наявні ресурси.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СК7. Здатність обґрунтовувати управлінські рішення щодо ефективного розвитку суб’єктів господарювання.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СК8. Здатність оцінювати можливі ризики, соціально-економічні наслідки управлінських рішень.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СК9. Здатність застосовувати науковий підхід до формування та виконання ефективних проектів у соціально-економічній сфері.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СК11. Здатність </w:t>
            </w:r>
            <w:r w:rsidRPr="00CF67F4">
              <w:rPr>
                <w:rFonts w:ascii="Times New Roman" w:hAnsi="Times New Roman"/>
                <w:sz w:val="28"/>
                <w:szCs w:val="28"/>
                <w:lang w:val="uk-UA"/>
              </w:rPr>
              <w:t>розробляти й аналізувати економіко-математичні моделі об’єктів/систем, динаміки економічних процесів, економічних ризиків.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СК12.</w:t>
            </w:r>
            <w:r w:rsidRPr="00CF67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здійснювати системний аналіз і моделювання соціально-економічних систем різних рівнів.</w:t>
            </w:r>
          </w:p>
          <w:p w:rsidR="00CF67F4" w:rsidRPr="00CF67F4" w:rsidRDefault="00CF67F4" w:rsidP="00CF67F4">
            <w:pPr>
              <w:tabs>
                <w:tab w:val="left" w:pos="411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СК13.</w:t>
            </w:r>
            <w:r w:rsidRPr="00CF67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до розробки прогнозних моделей соціально-економічних процесів/систем; моніторинг роботи системи</w:t>
            </w:r>
            <w:r w:rsidRPr="00CF67F4">
              <w:rPr>
                <w:sz w:val="28"/>
                <w:szCs w:val="28"/>
                <w:lang w:val="uk-UA"/>
              </w:rPr>
              <w:t>.</w:t>
            </w:r>
          </w:p>
          <w:p w:rsidR="002F42D5" w:rsidRPr="00677172" w:rsidRDefault="00CF67F4" w:rsidP="00C06C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67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СК14. </w:t>
            </w:r>
            <w:r w:rsidRPr="00CF67F4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розробки консультаційних проектів у сфері інформатизації.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Результати навчання за цим видом практики</w:t>
            </w:r>
          </w:p>
        </w:tc>
        <w:tc>
          <w:tcPr>
            <w:tcW w:w="6544" w:type="dxa"/>
          </w:tcPr>
          <w:p w:rsidR="00B83EC9" w:rsidRPr="00F1028F" w:rsidRDefault="00B83EC9" w:rsidP="00B83E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Програмні результати навчання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):</w:t>
            </w:r>
          </w:p>
          <w:p w:rsidR="002F42D5" w:rsidRPr="00987506" w:rsidRDefault="00044F3A" w:rsidP="00B83E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ПРН2. Розробляти, обґрунтовувати і приймати ефективні рішення з питань розвитку соціально-економічних систем та управління суб’єктами економічної діяльності.</w:t>
            </w:r>
          </w:p>
          <w:p w:rsidR="00044F3A" w:rsidRPr="00987506" w:rsidRDefault="00044F3A" w:rsidP="00B83E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ПРН4. Розробляти соціально-економічні </w:t>
            </w:r>
            <w:proofErr w:type="spellStart"/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проєкти</w:t>
            </w:r>
            <w:proofErr w:type="spellEnd"/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 обмежень.</w:t>
            </w:r>
          </w:p>
          <w:p w:rsidR="00044F3A" w:rsidRPr="00987506" w:rsidRDefault="00044F3A" w:rsidP="00B83E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ПРН6. Оцінювати результати власної роботи, демонструвати лідерські навички та уміння управляти персоналом і працювати в команді.</w:t>
            </w:r>
          </w:p>
          <w:p w:rsidR="00044F3A" w:rsidRPr="00987506" w:rsidRDefault="00044F3A" w:rsidP="00B83E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ПРН8. Збирати, обробляти та аналізувати статистичні дані, науково-аналітичні матеріали, необхідні для вирішення комплексних економічних завдань.</w:t>
            </w:r>
          </w:p>
          <w:p w:rsidR="00044F3A" w:rsidRPr="00987506" w:rsidRDefault="00044F3A" w:rsidP="00B83E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ПРН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соціально-економічними системами.</w:t>
            </w:r>
          </w:p>
          <w:p w:rsidR="00044F3A" w:rsidRPr="00987506" w:rsidRDefault="00044F3A" w:rsidP="00B83E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ПРН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Визначати та критично оцінювати стан та тенденції соціально-економічного розвитку, формувати та аналізувати моделі економічних систем та процесів</w:t>
            </w:r>
          </w:p>
          <w:p w:rsidR="00044F3A" w:rsidRPr="00987506" w:rsidRDefault="00044F3A" w:rsidP="00B83E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ПРН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Оцінювати можливі ризики, соціально-економічні наслідки управлінських рішень.</w:t>
            </w:r>
          </w:p>
          <w:p w:rsidR="00044F3A" w:rsidRPr="00677172" w:rsidRDefault="00044F3A" w:rsidP="009875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ПРН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9875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87506" w:rsidRPr="009875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87506" w:rsidRPr="00987506">
              <w:rPr>
                <w:rFonts w:ascii="Times New Roman" w:eastAsia="TimesNewRoman" w:hAnsi="Times New Roman"/>
                <w:sz w:val="28"/>
                <w:szCs w:val="28"/>
                <w:lang w:val="uk-UA"/>
              </w:rPr>
              <w:t>Розробляти економіко-математичні моделі соціально-економічних систем та здійснювати прогнозування їх динаміки.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 проведення практики (перелік типів закладів)</w:t>
            </w:r>
          </w:p>
        </w:tc>
        <w:tc>
          <w:tcPr>
            <w:tcW w:w="6544" w:type="dxa"/>
          </w:tcPr>
          <w:p w:rsidR="002F42D5" w:rsidRPr="00677172" w:rsidRDefault="0037073A" w:rsidP="00E4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622B3"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анки, страхові компанії, органи державної влади, державні</w:t>
            </w:r>
            <w:r w:rsidR="00E41B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приватні підприємства та ін.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Зміст практики: детальний та послідовний перелік видів роботи студента на практиці із зазначенням тривалості роботи впродовж дня</w:t>
            </w:r>
          </w:p>
        </w:tc>
        <w:tc>
          <w:tcPr>
            <w:tcW w:w="6544" w:type="dxa"/>
          </w:tcPr>
          <w:p w:rsidR="009B5E10" w:rsidRPr="009B5E10" w:rsidRDefault="00D622B3" w:rsidP="00E41BFD">
            <w:pPr>
              <w:pStyle w:val="a4"/>
              <w:spacing w:before="0" w:beforeAutospacing="0" w:after="0" w:afterAutospacing="0"/>
              <w:jc w:val="both"/>
              <w:rPr>
                <w:lang w:eastAsia="ru-RU"/>
              </w:rPr>
            </w:pPr>
            <w:bookmarkStart w:id="1" w:name="_heading=h.85mefbsnv3oi" w:colFirst="0" w:colLast="0"/>
            <w:bookmarkEnd w:id="1"/>
            <w:r w:rsidRPr="00677172">
              <w:rPr>
                <w:sz w:val="28"/>
                <w:szCs w:val="28"/>
                <w:lang w:val="uk-UA"/>
              </w:rPr>
              <w:t xml:space="preserve">Приблизний графік розподілу бюджетного часу практики  (п.5) наведений </w:t>
            </w:r>
            <w:r w:rsidR="009B5E10" w:rsidRPr="00307D17">
              <w:rPr>
                <w:color w:val="000000"/>
                <w:sz w:val="28"/>
                <w:szCs w:val="28"/>
                <w:lang w:eastAsia="ru-RU"/>
              </w:rPr>
              <w:t xml:space="preserve">у </w:t>
            </w:r>
            <w:hyperlink r:id="rId9" w:history="1">
              <w:proofErr w:type="spellStart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>Методичних</w:t>
              </w:r>
              <w:proofErr w:type="spellEnd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 xml:space="preserve"> </w:t>
              </w:r>
              <w:r w:rsidRPr="00307D17">
                <w:rPr>
                  <w:rStyle w:val="a5"/>
                  <w:sz w:val="28"/>
                  <w:szCs w:val="28"/>
                  <w:lang w:val="uk-UA" w:eastAsia="ru-RU"/>
                </w:rPr>
                <w:t>рекомендаціях</w:t>
              </w:r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>щодо</w:t>
              </w:r>
              <w:proofErr w:type="spellEnd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>організації</w:t>
              </w:r>
              <w:proofErr w:type="spellEnd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 xml:space="preserve"> та </w:t>
              </w:r>
              <w:proofErr w:type="spellStart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>проходження</w:t>
              </w:r>
              <w:proofErr w:type="spellEnd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>виробничої</w:t>
              </w:r>
              <w:proofErr w:type="spellEnd"/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 xml:space="preserve"> </w:t>
              </w:r>
              <w:r w:rsidR="009B5E10" w:rsidRPr="00307D17">
                <w:rPr>
                  <w:rStyle w:val="a5"/>
                  <w:sz w:val="28"/>
                  <w:szCs w:val="28"/>
                  <w:lang w:val="uk-UA" w:eastAsia="ru-RU"/>
                </w:rPr>
                <w:t xml:space="preserve">фахової </w:t>
              </w:r>
              <w:r w:rsidR="009B5E10" w:rsidRPr="00307D17">
                <w:rPr>
                  <w:rStyle w:val="a5"/>
                  <w:sz w:val="28"/>
                  <w:szCs w:val="28"/>
                  <w:lang w:eastAsia="ru-RU"/>
                </w:rPr>
                <w:t>практики</w:t>
              </w:r>
            </w:hyperlink>
          </w:p>
          <w:p w:rsidR="002F42D5" w:rsidRPr="00677172" w:rsidRDefault="002F42D5">
            <w:pPr>
              <w:pStyle w:val="1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firstLine="283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2F42D5" w:rsidRPr="00677172" w:rsidRDefault="002F42D5">
            <w:pPr>
              <w:rPr>
                <w:lang w:val="uk-UA"/>
              </w:rPr>
            </w:pPr>
          </w:p>
          <w:p w:rsidR="002F42D5" w:rsidRPr="00677172" w:rsidRDefault="002F42D5">
            <w:pPr>
              <w:rPr>
                <w:lang w:val="uk-UA"/>
              </w:rPr>
            </w:pPr>
          </w:p>
          <w:p w:rsidR="002F42D5" w:rsidRPr="00677172" w:rsidRDefault="002F42D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Види індивідуальних завдань (для студентів, які навчаються за індивідуальним планом, або з поважних причин не можуть виконувати основну програму практики, або навчаються  дистанційно)</w:t>
            </w:r>
          </w:p>
          <w:p w:rsidR="002F42D5" w:rsidRPr="00677172" w:rsidRDefault="002F42D5">
            <w:pPr>
              <w:tabs>
                <w:tab w:val="left" w:pos="460"/>
                <w:tab w:val="left" w:pos="851"/>
              </w:tabs>
              <w:ind w:left="34" w:firstLine="1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44" w:type="dxa"/>
          </w:tcPr>
          <w:p w:rsidR="002F42D5" w:rsidRPr="0010120F" w:rsidRDefault="000B38A7" w:rsidP="000B38A7">
            <w:pPr>
              <w:shd w:val="clear" w:color="auto" w:fill="FFFFFF"/>
              <w:spacing w:before="20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B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Рекомендований перелік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ндивідуальних завдань наведений</w:t>
            </w:r>
            <w:r w:rsidRPr="000B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п. 4</w:t>
            </w:r>
            <w:r w:rsidRPr="00677172">
              <w:rPr>
                <w:sz w:val="28"/>
                <w:szCs w:val="28"/>
                <w:lang w:val="uk-UA"/>
              </w:rPr>
              <w:t xml:space="preserve"> </w:t>
            </w:r>
            <w:r w:rsidRPr="00307D17">
              <w:rPr>
                <w:color w:val="000000"/>
                <w:sz w:val="28"/>
                <w:szCs w:val="28"/>
              </w:rPr>
              <w:t xml:space="preserve"> </w:t>
            </w:r>
            <w:hyperlink r:id="rId10" w:history="1">
              <w:proofErr w:type="spellStart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Методичних</w:t>
              </w:r>
              <w:proofErr w:type="spellEnd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рекомендацій</w:t>
              </w:r>
              <w:proofErr w:type="spellEnd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щодо</w:t>
              </w:r>
              <w:proofErr w:type="spellEnd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організації</w:t>
              </w:r>
              <w:proofErr w:type="spellEnd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та </w:t>
              </w:r>
              <w:proofErr w:type="spellStart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проходження</w:t>
              </w:r>
              <w:proofErr w:type="spellEnd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виробничої</w:t>
              </w:r>
              <w:proofErr w:type="spellEnd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фахової</w:t>
              </w:r>
              <w:proofErr w:type="spellEnd"/>
              <w:r w:rsidRPr="000B38A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практики</w:t>
              </w:r>
            </w:hyperlink>
          </w:p>
        </w:tc>
      </w:tr>
      <w:tr w:rsidR="002F42D5" w:rsidRPr="00677172">
        <w:trPr>
          <w:trHeight w:val="2898"/>
        </w:trPr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Вимоги до звіту про проходження практики: оптимальний перелік документів, які мають бути створені студентом у результаті практичної роботи (за потреби доповнити зразками оформлення)</w:t>
            </w:r>
          </w:p>
        </w:tc>
        <w:tc>
          <w:tcPr>
            <w:tcW w:w="6544" w:type="dxa"/>
          </w:tcPr>
          <w:p w:rsidR="002F42D5" w:rsidRPr="00677172" w:rsidRDefault="00D622B3" w:rsidP="00C67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Після закінчення терміну практики студенти звітують про виконання програми та індивідуального завдання. Загальна форма звітності студента за практику - це подання письмового звіту. Письмовий звіт разом із щоденником, подається на рецензування керівнику практики від навчального закладу. Звіт має містити відомості про виконання студентом усіх розділів </w:t>
            </w:r>
            <w:hyperlink r:id="rId11" w:history="1">
              <w:r w:rsidR="00247DD6" w:rsidRPr="00307D1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методичних рекомендацій</w:t>
              </w:r>
            </w:hyperlink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індивідуального завдання, висновки і пропозиції тощо.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Форми і методи контролю</w:t>
            </w:r>
          </w:p>
          <w:p w:rsidR="002F42D5" w:rsidRPr="00677172" w:rsidRDefault="002F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44" w:type="dxa"/>
          </w:tcPr>
          <w:p w:rsidR="004346F7" w:rsidRPr="00F1028F" w:rsidRDefault="004346F7" w:rsidP="00247DD6">
            <w:pPr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 за виконанням студентами вимог до проходження практики відбувається у двох формах: поточний і підсумковий.</w:t>
            </w:r>
          </w:p>
          <w:p w:rsidR="004346F7" w:rsidRPr="00F1028F" w:rsidRDefault="004346F7" w:rsidP="00247DD6">
            <w:pPr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Поточний контроль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здійснюється керівником практики від </w:t>
            </w:r>
            <w:r w:rsidR="00453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ЗВО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Під час поточного контролю перевіряється своєчасність виконання завдань практики (дотримання календарного графіку проходження практики, що відображений у щоденнику практики).</w:t>
            </w:r>
          </w:p>
          <w:p w:rsidR="002F42D5" w:rsidRPr="00677172" w:rsidRDefault="004346F7" w:rsidP="00247DD6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Підсумковий контроль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диференційований залік.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22B3"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 практики передбачає оцінювання роботи магістранта керівником від підприємства (у щоденнику: відгук і оцінка роботи студента на практиці) та керівником від кафедри (у щоденнику: висновок керівника практики від кафедри про роботу студента).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Критерії оцінювання за видами роботи (компоненти оцінювання: 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види практичної роботи, 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851"/>
              </w:tabs>
              <w:spacing w:after="200"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 змістова частина документів, стилістичне та граматичне оформлення тощо)</w:t>
            </w:r>
          </w:p>
        </w:tc>
        <w:tc>
          <w:tcPr>
            <w:tcW w:w="6544" w:type="dxa"/>
          </w:tcPr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 складає звіт про практику, в якому відображає результати проходження практики відповідно до завдань. Цей звіт повинен містити найповнішу, але лаконічну характеристику самостійної роботи студента-практиканта.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 про виробничу практику повинен відобразити відповідність результатів практики до поставленої мети та завдань.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Рекомендована структура звіту: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Титульний аркуш (з підписами студента і керівників практики) встановленого зразка</w:t>
            </w:r>
            <w:r w:rsidR="00247D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Зміст, де відображається перелік питань, що містяться у звіті;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Перелік умовних скорочень (за необхідності).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 Вступ, де висвітлюються мета, завдання об’єкт, предмет та напрямки практичної роботи студента в конкретній організації та структура звіту з практики.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Основна частина повинна містити три розділи: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Висновки та рекомендації, які формулюються за результатами виконаної роботи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Список використаних джерел</w:t>
            </w:r>
          </w:p>
          <w:p w:rsidR="002F42D5" w:rsidRPr="00677172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Повністю зміст та вимоги до змістовної частини наведено у </w:t>
            </w:r>
            <w:hyperlink r:id="rId12">
              <w:r w:rsidR="00307D17" w:rsidRPr="00307D1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Методичних</w:t>
              </w:r>
            </w:hyperlink>
            <w:r w:rsidR="00307D17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val="uk-UA"/>
              </w:rPr>
              <w:t xml:space="preserve"> рекомендаціях.</w:t>
            </w:r>
          </w:p>
          <w:p w:rsidR="002F42D5" w:rsidRPr="00677172" w:rsidRDefault="00D622B3">
            <w:pPr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звіту додаються:</w:t>
            </w:r>
          </w:p>
          <w:p w:rsidR="002F42D5" w:rsidRPr="00677172" w:rsidRDefault="00D622B3">
            <w:pPr>
              <w:shd w:val="clear" w:color="auto" w:fill="FFFFFF"/>
              <w:ind w:firstLine="7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       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оформлений договір на проходження практики;</w:t>
            </w:r>
          </w:p>
          <w:p w:rsidR="002F42D5" w:rsidRPr="00677172" w:rsidRDefault="00D622B3">
            <w:pPr>
              <w:shd w:val="clear" w:color="auto" w:fill="FFFFFF"/>
              <w:ind w:firstLine="7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77172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 xml:space="preserve">         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заповнений і належним чином оформлений щоденник практики (з висновками керівників від кафедри та бази практики, підписаний та завірений)</w:t>
            </w:r>
            <w:r w:rsidRPr="0067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2F42D5" w:rsidRPr="00677172" w:rsidRDefault="00D622B3">
            <w:pPr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Підсумкова оцінка знань, умінь та навичок студента, закріплених та набутих під час виробничої фахової практики, встановлюється за 100-бальною шкалою із подальшим переведенням її у чотири бальну шкалу оцінок («відмінно», «добре», «задовільно», «незадовільно») Критерії оцінювання </w:t>
            </w:r>
          </w:p>
          <w:p w:rsidR="002F42D5" w:rsidRPr="00677172" w:rsidRDefault="00D622B3" w:rsidP="00A233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наведені у п.7 </w:t>
            </w:r>
            <w:r w:rsidR="00A2335E"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="00A2335E" w:rsidRPr="00A2335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Методичних рекомендацій</w:t>
              </w:r>
            </w:hyperlink>
            <w:r w:rsidR="00307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Форми підбиття підсумків практики</w:t>
            </w:r>
          </w:p>
          <w:p w:rsidR="002F42D5" w:rsidRPr="00677172" w:rsidRDefault="002F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44" w:type="dxa"/>
          </w:tcPr>
          <w:p w:rsidR="002F42D5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завершенню практики проводиться диференційований залік у формі усного захисту практики</w:t>
            </w:r>
            <w:r w:rsidR="004346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(на основі оцінки представленого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звіту</w:t>
            </w:r>
            <w:r w:rsidR="004346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щоденнику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відгуку) перед комісією, призначеною завідувачем кафедри. До складу комісії входять керівники практики від вищого навчального закладу і, за можливості, від баз практики, викладачі кафедри, які викладали студентам професійно-орієнтовані дисципліни.</w:t>
            </w:r>
          </w:p>
          <w:p w:rsidR="004346F7" w:rsidRPr="00F1028F" w:rsidRDefault="004346F7" w:rsidP="004346F7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Захисти звітів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виробничої практики відбуває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ться на звітній конференції у формі доповіді з презентацією. </w:t>
            </w:r>
          </w:p>
          <w:p w:rsidR="009B5E10" w:rsidRDefault="00D6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Комісія приймає залік у студентів у терміни, встановлені наказом університету про проведення виробничої фахової практики. Оцінка за практику вноситься в залікову-екзаменаційну відомість і в залікову книжку студента.</w:t>
            </w:r>
            <w:r w:rsidR="009B5E10"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42D5" w:rsidRPr="00677172" w:rsidRDefault="009B5E10" w:rsidP="009B5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Студент, який не виконав програму практики, мав серйозні порушення трудової дисципліни, отримав негативний відгук керівника від бази практики або незадовільну оцінку на захисті</w:t>
            </w:r>
            <w:r w:rsidRPr="00F1028F">
              <w:rPr>
                <w:rFonts w:ascii="Arial" w:eastAsia="Arial" w:hAnsi="Arial" w:cs="Arial"/>
                <w:sz w:val="30"/>
                <w:szCs w:val="30"/>
                <w:lang w:val="uk-UA"/>
              </w:rPr>
              <w:t xml:space="preserve">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відраховується з університету за невиконання навчального плану.</w:t>
            </w:r>
          </w:p>
        </w:tc>
      </w:tr>
      <w:tr w:rsidR="002F42D5" w:rsidRPr="00677172">
        <w:tc>
          <w:tcPr>
            <w:tcW w:w="3545" w:type="dxa"/>
          </w:tcPr>
          <w:p w:rsidR="002F42D5" w:rsidRPr="00677172" w:rsidRDefault="00D62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Методичні рекомендації (з урахуванням особливостей спеціальності/освітньої програми)</w:t>
            </w:r>
          </w:p>
          <w:p w:rsidR="002F42D5" w:rsidRPr="00677172" w:rsidRDefault="002F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44" w:type="dxa"/>
          </w:tcPr>
          <w:p w:rsidR="002F42D5" w:rsidRPr="00677172" w:rsidRDefault="009B5E10" w:rsidP="009B5E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="002F4FE2" w:rsidRPr="00A2335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Методичні рекомендації</w:t>
              </w:r>
            </w:hyperlink>
            <w:r w:rsidR="002F4FE2"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для студентів спеціальності 051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освітньої програми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Економічна кібернетика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B5E10" w:rsidRPr="00677172">
        <w:tc>
          <w:tcPr>
            <w:tcW w:w="3545" w:type="dxa"/>
          </w:tcPr>
          <w:p w:rsidR="009B5E10" w:rsidRPr="00677172" w:rsidRDefault="009B5E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Інформаційні ресурси для підготовки до проходження практики</w:t>
            </w:r>
          </w:p>
          <w:p w:rsidR="009B5E10" w:rsidRPr="00677172" w:rsidRDefault="009B5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44" w:type="dxa"/>
          </w:tcPr>
          <w:p w:rsidR="009B5E10" w:rsidRPr="00F1028F" w:rsidRDefault="009B5E10" w:rsidP="00247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Наказ Міністерства освіти і науки України «Про затвердження Положення про організацію навчального процесу у вищих навчальних закладах»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161 від 02.06.93.</w:t>
            </w:r>
          </w:p>
          <w:p w:rsidR="009B5E10" w:rsidRPr="00F1028F" w:rsidRDefault="009B5E10" w:rsidP="00247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Наказ Міністерства освіти і науки України «Про затвердження Положення про проведення практики студентів вищих навчальних закладів України»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№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93 від 08.04.93. </w:t>
            </w:r>
          </w:p>
          <w:p w:rsidR="009B5E10" w:rsidRPr="00F1028F" w:rsidRDefault="009B5E10" w:rsidP="00247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«Методичних рекомендацій зі складання програм практики студентів вищих навчальних закладів України» (лист Міністерства освіти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31-5/97 від 14.11.96).</w:t>
            </w:r>
          </w:p>
          <w:p w:rsidR="009B5E10" w:rsidRPr="00F1028F" w:rsidRDefault="009B5E10" w:rsidP="00247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Положення про організацію практики студентів у </w:t>
            </w:r>
            <w:r w:rsidR="00453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ЗВО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B5E10" w:rsidRPr="00F1028F" w:rsidRDefault="009B5E10" w:rsidP="00247D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5. Положення про організацію навчального процесу у вищих навчальних закладах, затвердженого наказом Міністерства освіти і науки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F102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161 від 02.06.93.</w:t>
            </w:r>
          </w:p>
        </w:tc>
      </w:tr>
      <w:tr w:rsidR="009B5E10" w:rsidRPr="00677172">
        <w:tc>
          <w:tcPr>
            <w:tcW w:w="3545" w:type="dxa"/>
          </w:tcPr>
          <w:p w:rsidR="009B5E10" w:rsidRPr="00677172" w:rsidRDefault="009B5E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line="276" w:lineRule="auto"/>
              <w:ind w:left="34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Програма затверджена на засіданні кафедри </w:t>
            </w:r>
          </w:p>
          <w:p w:rsidR="009B5E10" w:rsidRPr="00677172" w:rsidRDefault="009B5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  <w:tab w:val="left" w:pos="602"/>
              </w:tabs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2" w:name="_heading=h.gjdgxs" w:colFirst="0" w:colLast="0"/>
            <w:bookmarkEnd w:id="2"/>
          </w:p>
        </w:tc>
        <w:tc>
          <w:tcPr>
            <w:tcW w:w="6544" w:type="dxa"/>
          </w:tcPr>
          <w:p w:rsidR="009B5E10" w:rsidRPr="00677172" w:rsidRDefault="009B5E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Кафедра мод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елювання економіки і бізнесу, 31.08.2023, протокол № 1</w:t>
            </w:r>
            <w:r w:rsidRPr="006771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F42D5" w:rsidRPr="00677172" w:rsidRDefault="002F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uk-UA"/>
        </w:rPr>
      </w:pPr>
    </w:p>
    <w:p w:rsidR="002F42D5" w:rsidRPr="00677172" w:rsidRDefault="002F42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F42D5" w:rsidRPr="00677172" w:rsidRDefault="002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F42D5" w:rsidRPr="00677172" w:rsidRDefault="002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F42D5" w:rsidRPr="00677172" w:rsidRDefault="002F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F42D5" w:rsidRPr="00677172" w:rsidRDefault="00D622B3">
      <w:pPr>
        <w:spacing w:after="0" w:line="240" w:lineRule="auto"/>
        <w:ind w:right="17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71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F42D5" w:rsidRPr="00677172" w:rsidRDefault="002F42D5">
      <w:pPr>
        <w:rPr>
          <w:lang w:val="uk-UA"/>
        </w:rPr>
      </w:pPr>
    </w:p>
    <w:sectPr w:rsidR="002F42D5" w:rsidRPr="0067717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EBC"/>
    <w:multiLevelType w:val="multilevel"/>
    <w:tmpl w:val="EEE09E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AEA7E7F"/>
    <w:multiLevelType w:val="multilevel"/>
    <w:tmpl w:val="695A3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2F42D5"/>
    <w:rsid w:val="00044F3A"/>
    <w:rsid w:val="000B38A7"/>
    <w:rsid w:val="0010120F"/>
    <w:rsid w:val="00247DD6"/>
    <w:rsid w:val="002F42D5"/>
    <w:rsid w:val="002F4FE2"/>
    <w:rsid w:val="00307D17"/>
    <w:rsid w:val="0037073A"/>
    <w:rsid w:val="004346F7"/>
    <w:rsid w:val="004538E5"/>
    <w:rsid w:val="00677172"/>
    <w:rsid w:val="00911BBE"/>
    <w:rsid w:val="00987506"/>
    <w:rsid w:val="009B5E10"/>
    <w:rsid w:val="00A2335E"/>
    <w:rsid w:val="00B83EC9"/>
    <w:rsid w:val="00C06C47"/>
    <w:rsid w:val="00C67D75"/>
    <w:rsid w:val="00CF67F4"/>
    <w:rsid w:val="00D46C72"/>
    <w:rsid w:val="00D622B3"/>
    <w:rsid w:val="00E41BFD"/>
    <w:rsid w:val="00E44CA5"/>
    <w:rsid w:val="00E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81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813B1D"/>
    <w:rPr>
      <w:color w:val="0000FF"/>
      <w:u w:val="single"/>
    </w:rPr>
  </w:style>
  <w:style w:type="table" w:styleId="a6">
    <w:name w:val="Table Grid"/>
    <w:basedOn w:val="a1"/>
    <w:uiPriority w:val="59"/>
    <w:rsid w:val="0081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6942"/>
    <w:pPr>
      <w:ind w:left="720"/>
      <w:contextualSpacing/>
    </w:pPr>
    <w:rPr>
      <w:rFonts w:cs="Times New Roman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CF67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0B38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81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813B1D"/>
    <w:rPr>
      <w:color w:val="0000FF"/>
      <w:u w:val="single"/>
    </w:rPr>
  </w:style>
  <w:style w:type="table" w:styleId="a6">
    <w:name w:val="Table Grid"/>
    <w:basedOn w:val="a1"/>
    <w:uiPriority w:val="59"/>
    <w:rsid w:val="0081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6942"/>
    <w:pPr>
      <w:ind w:left="720"/>
      <w:contextualSpacing/>
    </w:pPr>
    <w:rPr>
      <w:rFonts w:cs="Times New Roman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CF67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0B3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g9Ciy_7J1-3nkkI1Bar4zHbVLOiOtFq/view?usp=sharing" TargetMode="External"/><Relationship Id="rId13" Type="http://schemas.openxmlformats.org/officeDocument/2006/relationships/hyperlink" Target="https://docs.google.com/document/d/1KN8igMMWbGuQ8s2cruS7Rb5phjQtALaH/edit?usp=sharing&amp;ouid=102093627732630240717&amp;rtpof=true&amp;sd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5op9PLtt0NFeGSMo4t1BxXxlf6kz_w9b/edit?usp=sharing&amp;ouid=102093627732630240717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KN8igMMWbGuQ8s2cruS7Rb5phjQtALaH/edit?usp=sharing&amp;ouid=102093627732630240717&amp;rtpof=true&amp;sd=tru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KN8igMMWbGuQ8s2cruS7Rb5phjQtALaH/edit?usp=sharing&amp;ouid=102093627732630240717&amp;rtpof=true&amp;sd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KN8igMMWbGuQ8s2cruS7Rb5phjQtALaH/edit?usp=sharing&amp;ouid=102093627732630240717&amp;rtpof=true&amp;sd=true" TargetMode="External"/><Relationship Id="rId14" Type="http://schemas.openxmlformats.org/officeDocument/2006/relationships/hyperlink" Target="https://docs.google.com/document/d/1KN8igMMWbGuQ8s2cruS7Rb5phjQtALaH/edit?usp=sharing&amp;ouid=10209362773263024071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2P2HRK6Vx1iDwkhti7hEYU5ug==">CgMxLjAyDmguODVtZWZic252M29pMg5oLnkwemoyZ3R4anE1ajIIaC5namRneHM4AHIhMVVDWEtUcU9zUXhPMGZqV3EyYm5QSE9fT3o0Z2pDYndI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4</cp:revision>
  <dcterms:created xsi:type="dcterms:W3CDTF">2024-01-31T17:11:00Z</dcterms:created>
  <dcterms:modified xsi:type="dcterms:W3CDTF">2024-01-31T17:55:00Z</dcterms:modified>
</cp:coreProperties>
</file>